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6C36E" w14:textId="4DE0563F" w:rsidR="00CB7B04" w:rsidRPr="008124F4" w:rsidRDefault="009533A9" w:rsidP="008124F4">
      <w:pPr>
        <w:spacing w:before="120" w:after="120" w:line="240" w:lineRule="auto"/>
        <w:ind w:hanging="284"/>
        <w:rPr>
          <w:rFonts w:ascii="Century Gothic" w:hAnsi="Century Gothic" w:cs="Helvetica"/>
        </w:rPr>
      </w:pPr>
      <w:r w:rsidRPr="008124F4">
        <w:rPr>
          <w:rFonts w:ascii="Century Gothic" w:hAnsi="Century Gothic" w:cs="Helvetica"/>
        </w:rPr>
        <w:t>Normativa aplicable a Auditorio de Tenerife</w:t>
      </w:r>
      <w:r w:rsidR="008124F4" w:rsidRPr="008124F4">
        <w:rPr>
          <w:rFonts w:ascii="Century Gothic" w:hAnsi="Century Gothic" w:cs="Helvetica"/>
        </w:rPr>
        <w:t>:</w:t>
      </w:r>
    </w:p>
    <w:p w14:paraId="2782F8F9" w14:textId="14BB53D7" w:rsidR="008124F4" w:rsidRPr="008124F4" w:rsidRDefault="008124F4" w:rsidP="008124F4">
      <w:pPr>
        <w:pStyle w:val="Prrafodelista"/>
        <w:numPr>
          <w:ilvl w:val="0"/>
          <w:numId w:val="1"/>
        </w:numPr>
        <w:spacing w:before="120" w:after="120" w:line="240" w:lineRule="auto"/>
        <w:ind w:left="0" w:hanging="284"/>
        <w:contextualSpacing w:val="0"/>
        <w:jc w:val="both"/>
        <w:rPr>
          <w:rStyle w:val="Hipervnculo"/>
          <w:rFonts w:ascii="Century Gothic" w:hAnsi="Century Gothic" w:cs="Helvetica"/>
          <w:color w:val="auto"/>
          <w:u w:val="none"/>
        </w:rPr>
      </w:pPr>
      <w:hyperlink r:id="rId10" w:history="1">
        <w:r w:rsidRPr="008124F4">
          <w:rPr>
            <w:rStyle w:val="Hipervnculo"/>
            <w:rFonts w:ascii="Century Gothic" w:hAnsi="Century Gothic" w:cs="Helvetica"/>
            <w:color w:val="auto"/>
          </w:rPr>
          <w:t>Ley 7/1985, de 2 de abril, Reguladora de las Bases del Régimen Local</w:t>
        </w:r>
      </w:hyperlink>
      <w:r>
        <w:rPr>
          <w:rStyle w:val="Hipervnculo"/>
          <w:rFonts w:ascii="Century Gothic" w:hAnsi="Century Gothic" w:cs="Helvetica"/>
          <w:color w:val="auto"/>
        </w:rPr>
        <w:t>.</w:t>
      </w:r>
    </w:p>
    <w:p w14:paraId="66963781" w14:textId="39C6A52C" w:rsidR="008124F4" w:rsidRPr="008124F4" w:rsidRDefault="008124F4" w:rsidP="008124F4">
      <w:pPr>
        <w:pStyle w:val="Prrafodelista"/>
        <w:numPr>
          <w:ilvl w:val="0"/>
          <w:numId w:val="1"/>
        </w:numPr>
        <w:spacing w:before="120" w:after="120" w:line="240" w:lineRule="auto"/>
        <w:ind w:left="0" w:hanging="284"/>
        <w:contextualSpacing w:val="0"/>
        <w:jc w:val="both"/>
        <w:rPr>
          <w:rStyle w:val="Hipervnculo"/>
          <w:rFonts w:ascii="Century Gothic" w:hAnsi="Century Gothic" w:cs="Helvetica"/>
          <w:color w:val="auto"/>
          <w:u w:val="none"/>
        </w:rPr>
      </w:pPr>
      <w:hyperlink r:id="rId11" w:history="1">
        <w:r w:rsidRPr="008124F4">
          <w:rPr>
            <w:rStyle w:val="Hipervnculo"/>
            <w:rFonts w:ascii="Century Gothic" w:hAnsi="Century Gothic" w:cs="Helvetica"/>
            <w:color w:val="auto"/>
          </w:rPr>
          <w:t>Ley 8/2015, de 1 de abril, de Cabildos Insulares</w:t>
        </w:r>
      </w:hyperlink>
      <w:r>
        <w:rPr>
          <w:rStyle w:val="Hipervnculo"/>
          <w:rFonts w:ascii="Century Gothic" w:hAnsi="Century Gothic" w:cs="Helvetica"/>
          <w:color w:val="auto"/>
        </w:rPr>
        <w:t>.</w:t>
      </w:r>
    </w:p>
    <w:p w14:paraId="445D4647" w14:textId="6DFA6376" w:rsidR="00CB7B04" w:rsidRPr="008124F4" w:rsidRDefault="008124F4" w:rsidP="008124F4">
      <w:pPr>
        <w:pStyle w:val="Prrafodelista"/>
        <w:numPr>
          <w:ilvl w:val="0"/>
          <w:numId w:val="1"/>
        </w:numPr>
        <w:spacing w:before="120" w:after="120" w:line="240" w:lineRule="auto"/>
        <w:ind w:left="0" w:hanging="284"/>
        <w:contextualSpacing w:val="0"/>
        <w:jc w:val="both"/>
        <w:rPr>
          <w:rFonts w:ascii="Century Gothic" w:hAnsi="Century Gothic" w:cs="Helvetica"/>
        </w:rPr>
      </w:pPr>
      <w:hyperlink r:id="rId12" w:history="1">
        <w:r w:rsidR="00CB7B04" w:rsidRPr="008124F4">
          <w:rPr>
            <w:rStyle w:val="Hipervnculo"/>
            <w:rFonts w:ascii="Century Gothic" w:hAnsi="Century Gothic" w:cs="Helvetica"/>
            <w:color w:val="auto"/>
          </w:rPr>
          <w:t>Real Decreto Legislativo 1/2010, de 2 de julio, por el que se aprueba el texto refundido de la Ley de Sociedades de Capital</w:t>
        </w:r>
      </w:hyperlink>
      <w:r>
        <w:rPr>
          <w:rStyle w:val="Hipervnculo"/>
          <w:rFonts w:ascii="Century Gothic" w:hAnsi="Century Gothic" w:cs="Helvetica"/>
          <w:color w:val="auto"/>
        </w:rPr>
        <w:t>.</w:t>
      </w:r>
    </w:p>
    <w:p w14:paraId="50D4DB7B" w14:textId="15A820AE" w:rsidR="0058424A" w:rsidRPr="008124F4" w:rsidRDefault="008124F4" w:rsidP="008124F4">
      <w:pPr>
        <w:pStyle w:val="Prrafodelista"/>
        <w:numPr>
          <w:ilvl w:val="0"/>
          <w:numId w:val="1"/>
        </w:numPr>
        <w:spacing w:before="120" w:after="120" w:line="240" w:lineRule="auto"/>
        <w:ind w:left="0" w:hanging="284"/>
        <w:contextualSpacing w:val="0"/>
        <w:jc w:val="both"/>
        <w:rPr>
          <w:rFonts w:ascii="Century Gothic" w:hAnsi="Century Gothic" w:cs="Helvetica"/>
        </w:rPr>
      </w:pPr>
      <w:hyperlink r:id="rId13" w:history="1">
        <w:r w:rsidR="0058424A" w:rsidRPr="008124F4">
          <w:rPr>
            <w:rStyle w:val="Hipervnculo"/>
            <w:rFonts w:ascii="Century Gothic" w:hAnsi="Century Gothic" w:cs="Helvetica"/>
            <w:color w:val="auto"/>
          </w:rPr>
          <w:t>Real Decreto 1784/1996, de 19 de julio, por el que se aprueba el Reglamento del Registro Mercantil</w:t>
        </w:r>
      </w:hyperlink>
      <w:r>
        <w:rPr>
          <w:rStyle w:val="Hipervnculo"/>
          <w:rFonts w:ascii="Century Gothic" w:hAnsi="Century Gothic" w:cs="Helvetica"/>
          <w:color w:val="auto"/>
        </w:rPr>
        <w:t>.</w:t>
      </w:r>
    </w:p>
    <w:p w14:paraId="66C2900B" w14:textId="17A7A66B" w:rsidR="00CB7B04" w:rsidRPr="008124F4" w:rsidRDefault="008124F4" w:rsidP="008124F4">
      <w:pPr>
        <w:pStyle w:val="Prrafodelista"/>
        <w:numPr>
          <w:ilvl w:val="0"/>
          <w:numId w:val="1"/>
        </w:numPr>
        <w:spacing w:before="120" w:after="120" w:line="240" w:lineRule="auto"/>
        <w:ind w:left="0" w:hanging="284"/>
        <w:contextualSpacing w:val="0"/>
        <w:jc w:val="both"/>
        <w:rPr>
          <w:rStyle w:val="Hipervnculo"/>
          <w:rFonts w:ascii="Century Gothic" w:hAnsi="Century Gothic" w:cs="Helvetica"/>
          <w:color w:val="auto"/>
          <w:u w:val="none"/>
        </w:rPr>
      </w:pPr>
      <w:hyperlink r:id="rId14" w:history="1">
        <w:r w:rsidR="00CB7B04" w:rsidRPr="008124F4">
          <w:rPr>
            <w:rStyle w:val="Hipervnculo"/>
            <w:rFonts w:ascii="Century Gothic" w:hAnsi="Century Gothic" w:cs="Helvetica"/>
            <w:color w:val="auto"/>
          </w:rPr>
          <w:t>Real Decreto 1514/2007, de 16 de noviembre, por el que se aprueba el Plan General de Contabilidad</w:t>
        </w:r>
      </w:hyperlink>
      <w:r>
        <w:rPr>
          <w:rStyle w:val="Hipervnculo"/>
          <w:rFonts w:ascii="Century Gothic" w:hAnsi="Century Gothic" w:cs="Helvetica"/>
          <w:color w:val="auto"/>
        </w:rPr>
        <w:t>.</w:t>
      </w:r>
    </w:p>
    <w:p w14:paraId="6D4AE9AE" w14:textId="40A1BB9F" w:rsidR="008124F4" w:rsidRPr="008124F4" w:rsidRDefault="008124F4" w:rsidP="008124F4">
      <w:pPr>
        <w:pStyle w:val="Prrafodelista"/>
        <w:numPr>
          <w:ilvl w:val="0"/>
          <w:numId w:val="1"/>
        </w:numPr>
        <w:spacing w:before="120" w:after="120" w:line="240" w:lineRule="auto"/>
        <w:ind w:left="0" w:hanging="284"/>
        <w:contextualSpacing w:val="0"/>
        <w:jc w:val="both"/>
        <w:rPr>
          <w:rFonts w:ascii="Century Gothic" w:hAnsi="Century Gothic" w:cs="Helvetica"/>
        </w:rPr>
      </w:pPr>
      <w:hyperlink r:id="rId15" w:history="1">
        <w:r w:rsidRPr="008124F4">
          <w:rPr>
            <w:rStyle w:val="Hipervnculo"/>
            <w:rFonts w:ascii="Century Gothic" w:hAnsi="Century Gothic" w:cs="Helvetica"/>
            <w:color w:val="auto"/>
          </w:rPr>
          <w:t>Real Decreto Legislativo 2/2004, de 5 de marzo, por el que se aprueba el texto refundido de la Ley Reguladora de las Haciendas Locales</w:t>
        </w:r>
      </w:hyperlink>
      <w:r>
        <w:rPr>
          <w:rFonts w:ascii="Century Gothic" w:hAnsi="Century Gothic" w:cs="Helvetica"/>
        </w:rPr>
        <w:t>.</w:t>
      </w:r>
    </w:p>
    <w:p w14:paraId="6DF3A17C" w14:textId="4FAC9148" w:rsidR="008124F4" w:rsidRPr="008124F4" w:rsidRDefault="008124F4" w:rsidP="008124F4">
      <w:pPr>
        <w:pStyle w:val="Prrafodelista"/>
        <w:numPr>
          <w:ilvl w:val="0"/>
          <w:numId w:val="1"/>
        </w:numPr>
        <w:spacing w:before="120" w:after="120" w:line="240" w:lineRule="auto"/>
        <w:ind w:left="0" w:hanging="284"/>
        <w:contextualSpacing w:val="0"/>
        <w:jc w:val="both"/>
        <w:rPr>
          <w:rStyle w:val="Hipervnculo"/>
          <w:rFonts w:ascii="Century Gothic" w:hAnsi="Century Gothic" w:cs="Helvetica"/>
          <w:color w:val="auto"/>
          <w:u w:val="none"/>
        </w:rPr>
      </w:pPr>
      <w:hyperlink r:id="rId16" w:history="1">
        <w:r w:rsidRPr="008124F4">
          <w:rPr>
            <w:rStyle w:val="Hipervnculo"/>
            <w:rFonts w:ascii="Century Gothic" w:hAnsi="Century Gothic" w:cs="Helvetica"/>
            <w:color w:val="auto"/>
          </w:rPr>
          <w:t>Real Decreto 424/2017, de 28 de abril, por el que se regula el régimen jurídico del control interno en las entidades del Sector Público Local</w:t>
        </w:r>
      </w:hyperlink>
      <w:r>
        <w:rPr>
          <w:rStyle w:val="Hipervnculo"/>
          <w:rFonts w:ascii="Century Gothic" w:hAnsi="Century Gothic" w:cs="Helvetica"/>
          <w:color w:val="auto"/>
        </w:rPr>
        <w:t>.</w:t>
      </w:r>
    </w:p>
    <w:p w14:paraId="3686F3D4" w14:textId="77777777" w:rsidR="008124F4" w:rsidRPr="008124F4" w:rsidRDefault="008124F4" w:rsidP="008124F4">
      <w:pPr>
        <w:pStyle w:val="Prrafodelista"/>
        <w:numPr>
          <w:ilvl w:val="0"/>
          <w:numId w:val="1"/>
        </w:numPr>
        <w:spacing w:before="120" w:after="120" w:line="240" w:lineRule="auto"/>
        <w:ind w:left="0" w:hanging="284"/>
        <w:contextualSpacing w:val="0"/>
        <w:jc w:val="both"/>
        <w:rPr>
          <w:rFonts w:ascii="Century Gothic" w:hAnsi="Century Gothic" w:cs="Helvetica"/>
          <w:u w:val="single"/>
        </w:rPr>
      </w:pPr>
      <w:hyperlink r:id="rId17" w:history="1">
        <w:r w:rsidRPr="008124F4">
          <w:rPr>
            <w:rStyle w:val="Hipervnculo"/>
            <w:rFonts w:ascii="Century Gothic" w:hAnsi="Century Gothic" w:cs="Helvetica"/>
            <w:color w:val="auto"/>
          </w:rPr>
          <w:t>Ley 4/2007, de 3 de abril, de transparencia de las relaciones financieras entre las Administraciones públicas y las empresas públicas, y de transparencia financiera de determinadas empresas.</w:t>
        </w:r>
      </w:hyperlink>
    </w:p>
    <w:p w14:paraId="7BB32B98" w14:textId="77777777" w:rsidR="008124F4" w:rsidRPr="008124F4" w:rsidRDefault="008124F4" w:rsidP="008124F4">
      <w:pPr>
        <w:pStyle w:val="Prrafodelista"/>
        <w:numPr>
          <w:ilvl w:val="0"/>
          <w:numId w:val="1"/>
        </w:numPr>
        <w:spacing w:before="120" w:after="120" w:line="240" w:lineRule="auto"/>
        <w:ind w:left="0" w:hanging="284"/>
        <w:contextualSpacing w:val="0"/>
        <w:jc w:val="both"/>
        <w:rPr>
          <w:rFonts w:ascii="Century Gothic" w:hAnsi="Century Gothic" w:cs="Helvetica"/>
        </w:rPr>
      </w:pPr>
      <w:hyperlink r:id="rId18" w:history="1">
        <w:r w:rsidRPr="008124F4">
          <w:rPr>
            <w:rStyle w:val="Hipervnculo"/>
            <w:rFonts w:ascii="Century Gothic" w:eastAsia="Times New Roman" w:hAnsi="Century Gothic" w:cs="Helvetica"/>
            <w:color w:val="auto"/>
            <w:lang w:eastAsia="es-ES"/>
          </w:rPr>
          <w:t>Real Decreto Legislativo 5/2015, de 30 de octubre, por el que se aprueba el texto refundido de la Ley del Estatuto Básico del Empleado Público.</w:t>
        </w:r>
      </w:hyperlink>
    </w:p>
    <w:p w14:paraId="1F468A95" w14:textId="23D8CFE7" w:rsidR="00B16F69" w:rsidRPr="008124F4" w:rsidRDefault="008124F4" w:rsidP="008124F4">
      <w:pPr>
        <w:pStyle w:val="Prrafodelista"/>
        <w:numPr>
          <w:ilvl w:val="0"/>
          <w:numId w:val="1"/>
        </w:numPr>
        <w:spacing w:before="120" w:after="120" w:line="240" w:lineRule="auto"/>
        <w:ind w:left="0" w:hanging="284"/>
        <w:contextualSpacing w:val="0"/>
        <w:jc w:val="both"/>
        <w:rPr>
          <w:rStyle w:val="Hipervnculo"/>
          <w:rFonts w:ascii="Century Gothic" w:hAnsi="Century Gothic" w:cs="Helvetica"/>
          <w:color w:val="auto"/>
          <w:u w:val="none"/>
        </w:rPr>
      </w:pPr>
      <w:hyperlink r:id="rId19" w:history="1">
        <w:r w:rsidR="0058424A" w:rsidRPr="008124F4">
          <w:rPr>
            <w:rStyle w:val="Hipervnculo"/>
            <w:rFonts w:ascii="Century Gothic" w:hAnsi="Century Gothic" w:cs="Helvetica"/>
            <w:color w:val="auto"/>
          </w:rPr>
          <w:t>Real Decreto Legislativo 2/2015, de 23 de octubre, por el que se aprueba el texto refundido de la Ley del Estatuto de los Trabajadores</w:t>
        </w:r>
      </w:hyperlink>
      <w:r>
        <w:rPr>
          <w:rStyle w:val="Hipervnculo"/>
          <w:rFonts w:ascii="Century Gothic" w:hAnsi="Century Gothic" w:cs="Helvetica"/>
          <w:color w:val="auto"/>
        </w:rPr>
        <w:t>.</w:t>
      </w:r>
    </w:p>
    <w:p w14:paraId="0E6C6265" w14:textId="718203CD" w:rsidR="0058424A" w:rsidRPr="008124F4" w:rsidRDefault="008124F4" w:rsidP="008124F4">
      <w:pPr>
        <w:pStyle w:val="Prrafodelista"/>
        <w:numPr>
          <w:ilvl w:val="0"/>
          <w:numId w:val="1"/>
        </w:numPr>
        <w:spacing w:before="120" w:after="120" w:line="240" w:lineRule="auto"/>
        <w:ind w:left="0" w:hanging="284"/>
        <w:contextualSpacing w:val="0"/>
        <w:jc w:val="both"/>
        <w:rPr>
          <w:rStyle w:val="Hipervnculo"/>
          <w:rFonts w:ascii="Century Gothic" w:hAnsi="Century Gothic" w:cs="Helvetica"/>
          <w:color w:val="auto"/>
          <w:u w:val="none"/>
        </w:rPr>
      </w:pPr>
      <w:hyperlink r:id="rId20" w:history="1">
        <w:r w:rsidR="0058424A" w:rsidRPr="008124F4">
          <w:rPr>
            <w:rStyle w:val="Hipervnculo"/>
            <w:rFonts w:ascii="Century Gothic" w:hAnsi="Century Gothic" w:cs="Helvetica"/>
            <w:color w:val="auto"/>
          </w:rPr>
          <w:t>Ley 9/2017, de 8 de noviembre, de Contratos del Sector Público, por la que se transponen al ordenamiento jurídico español las Directivas del Parlamento Europeo y del Consejo 2014/23/UE y 2014/24/UE, de 26 de febrero de 2014</w:t>
        </w:r>
      </w:hyperlink>
      <w:r>
        <w:rPr>
          <w:rStyle w:val="Hipervnculo"/>
          <w:rFonts w:ascii="Century Gothic" w:hAnsi="Century Gothic" w:cs="Helvetica"/>
          <w:color w:val="auto"/>
        </w:rPr>
        <w:t>.</w:t>
      </w:r>
    </w:p>
    <w:p w14:paraId="1779F955" w14:textId="77777777" w:rsidR="008124F4" w:rsidRPr="008124F4" w:rsidRDefault="008124F4" w:rsidP="008124F4">
      <w:pPr>
        <w:pStyle w:val="Prrafodelista"/>
        <w:numPr>
          <w:ilvl w:val="0"/>
          <w:numId w:val="1"/>
        </w:numPr>
        <w:spacing w:before="120" w:after="120" w:line="240" w:lineRule="auto"/>
        <w:ind w:left="0" w:hanging="284"/>
        <w:contextualSpacing w:val="0"/>
        <w:jc w:val="both"/>
        <w:rPr>
          <w:rStyle w:val="Hipervnculo"/>
          <w:rFonts w:ascii="Century Gothic" w:hAnsi="Century Gothic" w:cs="Helvetica"/>
          <w:color w:val="auto"/>
          <w:u w:val="none"/>
        </w:rPr>
      </w:pPr>
      <w:hyperlink r:id="rId21" w:history="1">
        <w:r w:rsidRPr="008124F4">
          <w:rPr>
            <w:rStyle w:val="Hipervnculo"/>
            <w:rFonts w:ascii="Century Gothic" w:hAnsi="Century Gothic" w:cs="Helvetica"/>
            <w:color w:val="auto"/>
          </w:rPr>
          <w:t>Real Decreto 1098/2001, de 12 de octubre, por el que se aprueba el Reglamento general de la Ley de Contratos de las Administraciones Públicas.</w:t>
        </w:r>
      </w:hyperlink>
    </w:p>
    <w:p w14:paraId="26D59985" w14:textId="77777777" w:rsidR="008124F4" w:rsidRPr="008124F4" w:rsidRDefault="008124F4" w:rsidP="008124F4">
      <w:pPr>
        <w:pStyle w:val="Prrafodelista"/>
        <w:numPr>
          <w:ilvl w:val="0"/>
          <w:numId w:val="1"/>
        </w:numPr>
        <w:spacing w:before="120" w:after="120" w:line="240" w:lineRule="auto"/>
        <w:ind w:left="0" w:hanging="284"/>
        <w:contextualSpacing w:val="0"/>
        <w:jc w:val="both"/>
        <w:rPr>
          <w:rFonts w:ascii="Century Gothic" w:hAnsi="Century Gothic" w:cs="Helvetica"/>
          <w:u w:val="single"/>
        </w:rPr>
      </w:pPr>
      <w:hyperlink r:id="rId22" w:history="1">
        <w:r w:rsidRPr="008124F4">
          <w:rPr>
            <w:rStyle w:val="Hipervnculo"/>
            <w:rFonts w:ascii="Century Gothic" w:hAnsi="Century Gothic" w:cs="Helvetica"/>
            <w:color w:val="auto"/>
          </w:rPr>
          <w:t>Ley 39/2015, de 1 de octubre, del Procedimiento Administrativo Común de las Administraciones Públicas.</w:t>
        </w:r>
      </w:hyperlink>
    </w:p>
    <w:p w14:paraId="6B6F41CE" w14:textId="77777777" w:rsidR="008124F4" w:rsidRPr="008124F4" w:rsidRDefault="008124F4" w:rsidP="008124F4">
      <w:pPr>
        <w:pStyle w:val="Prrafodelista"/>
        <w:numPr>
          <w:ilvl w:val="0"/>
          <w:numId w:val="1"/>
        </w:numPr>
        <w:spacing w:before="120" w:after="120" w:line="240" w:lineRule="auto"/>
        <w:ind w:left="0" w:hanging="284"/>
        <w:contextualSpacing w:val="0"/>
        <w:jc w:val="both"/>
        <w:rPr>
          <w:rFonts w:ascii="Century Gothic" w:hAnsi="Century Gothic" w:cs="Helvetica"/>
          <w:u w:val="single"/>
        </w:rPr>
      </w:pPr>
      <w:hyperlink r:id="rId23" w:history="1">
        <w:r w:rsidRPr="008124F4">
          <w:rPr>
            <w:rStyle w:val="Hipervnculo"/>
            <w:rFonts w:ascii="Century Gothic" w:hAnsi="Century Gothic" w:cs="Helvetica"/>
            <w:color w:val="auto"/>
          </w:rPr>
          <w:t>Ley 40/2015, de 1 de octubre, de Régimen Jurídico del Sector Público.</w:t>
        </w:r>
      </w:hyperlink>
    </w:p>
    <w:p w14:paraId="090D7B90" w14:textId="223DED78" w:rsidR="003404DB" w:rsidRPr="008124F4" w:rsidRDefault="008124F4" w:rsidP="008124F4">
      <w:pPr>
        <w:pStyle w:val="Prrafodelista"/>
        <w:numPr>
          <w:ilvl w:val="0"/>
          <w:numId w:val="1"/>
        </w:numPr>
        <w:spacing w:before="120" w:after="120" w:line="240" w:lineRule="auto"/>
        <w:ind w:left="0" w:hanging="284"/>
        <w:contextualSpacing w:val="0"/>
        <w:jc w:val="both"/>
        <w:rPr>
          <w:rFonts w:ascii="Century Gothic" w:hAnsi="Century Gothic" w:cs="Helvetica"/>
        </w:rPr>
      </w:pPr>
      <w:hyperlink r:id="rId24" w:history="1">
        <w:r w:rsidR="00CB7B04" w:rsidRPr="008124F4">
          <w:rPr>
            <w:rStyle w:val="Hipervnculo"/>
            <w:rFonts w:ascii="Century Gothic" w:hAnsi="Century Gothic" w:cs="Helvetica"/>
            <w:color w:val="auto"/>
          </w:rPr>
          <w:t>Ley 19/2013, de 9 de diciembre, de Transparencia, Acceso a la Información Pública y Buen Gobierno</w:t>
        </w:r>
      </w:hyperlink>
      <w:r>
        <w:rPr>
          <w:rStyle w:val="Hipervnculo"/>
          <w:rFonts w:ascii="Century Gothic" w:hAnsi="Century Gothic" w:cs="Helvetica"/>
          <w:color w:val="auto"/>
        </w:rPr>
        <w:t>.</w:t>
      </w:r>
    </w:p>
    <w:p w14:paraId="1DC3029E" w14:textId="3CCBCCF1" w:rsidR="003404DB" w:rsidRPr="008124F4" w:rsidRDefault="008124F4" w:rsidP="008124F4">
      <w:pPr>
        <w:pStyle w:val="Prrafodelista"/>
        <w:numPr>
          <w:ilvl w:val="0"/>
          <w:numId w:val="1"/>
        </w:numPr>
        <w:spacing w:before="120" w:after="120" w:line="240" w:lineRule="auto"/>
        <w:ind w:left="0" w:hanging="284"/>
        <w:contextualSpacing w:val="0"/>
        <w:jc w:val="both"/>
        <w:rPr>
          <w:rStyle w:val="Hipervnculo"/>
          <w:rFonts w:ascii="Century Gothic" w:hAnsi="Century Gothic" w:cs="Helvetica"/>
          <w:color w:val="auto"/>
          <w:u w:val="none"/>
        </w:rPr>
      </w:pPr>
      <w:hyperlink r:id="rId25" w:history="1">
        <w:r w:rsidR="00CB7B04" w:rsidRPr="008124F4">
          <w:rPr>
            <w:rStyle w:val="Hipervnculo"/>
            <w:rFonts w:ascii="Century Gothic" w:hAnsi="Century Gothic" w:cs="Helvetica"/>
            <w:color w:val="auto"/>
          </w:rPr>
          <w:t>Ley 12/2014, de 26 de diciembre, de transparencia y de acceso a la información pública</w:t>
        </w:r>
      </w:hyperlink>
      <w:r>
        <w:rPr>
          <w:rStyle w:val="Hipervnculo"/>
          <w:rFonts w:ascii="Century Gothic" w:hAnsi="Century Gothic" w:cs="Helvetica"/>
          <w:color w:val="auto"/>
        </w:rPr>
        <w:t>.</w:t>
      </w:r>
    </w:p>
    <w:p w14:paraId="08D89AFD" w14:textId="7A019E65" w:rsidR="008124F4" w:rsidRPr="008124F4" w:rsidRDefault="00B16F69" w:rsidP="008124F4">
      <w:pPr>
        <w:pStyle w:val="Prrafodelista"/>
        <w:numPr>
          <w:ilvl w:val="0"/>
          <w:numId w:val="1"/>
        </w:numPr>
        <w:spacing w:before="120" w:after="120" w:line="240" w:lineRule="auto"/>
        <w:ind w:left="0" w:hanging="284"/>
        <w:contextualSpacing w:val="0"/>
        <w:jc w:val="both"/>
        <w:rPr>
          <w:rFonts w:ascii="Century Gothic" w:hAnsi="Century Gothic" w:cs="Helvetica"/>
        </w:rPr>
      </w:pPr>
      <w:hyperlink r:id="rId26" w:history="1">
        <w:r w:rsidRPr="008124F4">
          <w:rPr>
            <w:rStyle w:val="Hipervnculo"/>
            <w:rFonts w:ascii="Century Gothic" w:hAnsi="Century Gothic" w:cs="Helvetica"/>
            <w:color w:val="auto"/>
          </w:rPr>
          <w:t>Ley Orgánica 3/2018, de 5 de diciembre, de Protección de Datos Personales y garantía de los derechos digitales.</w:t>
        </w:r>
      </w:hyperlink>
    </w:p>
    <w:sectPr w:rsidR="008124F4" w:rsidRPr="008124F4" w:rsidSect="00FD2691">
      <w:headerReference w:type="default" r:id="rId27"/>
      <w:pgSz w:w="11906" w:h="16838"/>
      <w:pgMar w:top="2410" w:right="1701" w:bottom="1417" w:left="1701" w:header="141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4AB6C" w14:textId="77777777" w:rsidR="00362F3E" w:rsidRDefault="00362F3E" w:rsidP="00EE44E4">
      <w:pPr>
        <w:spacing w:after="0" w:line="240" w:lineRule="auto"/>
      </w:pPr>
      <w:r>
        <w:separator/>
      </w:r>
    </w:p>
  </w:endnote>
  <w:endnote w:type="continuationSeparator" w:id="0">
    <w:p w14:paraId="04B85F02" w14:textId="77777777" w:rsidR="00362F3E" w:rsidRDefault="00362F3E" w:rsidP="00EE4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5A708" w14:textId="77777777" w:rsidR="00362F3E" w:rsidRDefault="00362F3E" w:rsidP="00EE44E4">
      <w:pPr>
        <w:spacing w:after="0" w:line="240" w:lineRule="auto"/>
      </w:pPr>
      <w:r>
        <w:separator/>
      </w:r>
    </w:p>
  </w:footnote>
  <w:footnote w:type="continuationSeparator" w:id="0">
    <w:p w14:paraId="461292CD" w14:textId="77777777" w:rsidR="00362F3E" w:rsidRDefault="00362F3E" w:rsidP="00EE4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C2B12" w14:textId="62826F34" w:rsidR="00EE44E4" w:rsidRDefault="00FD2691">
    <w:pPr>
      <w:pStyle w:val="Encabezado"/>
    </w:pPr>
    <w:r w:rsidRPr="003E1D90">
      <w:rPr>
        <w:noProof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5B3D9D4A" wp14:editId="1E73383F">
              <wp:simplePos x="0" y="0"/>
              <wp:positionH relativeFrom="margin">
                <wp:posOffset>2901315</wp:posOffset>
              </wp:positionH>
              <wp:positionV relativeFrom="topMargin">
                <wp:posOffset>544830</wp:posOffset>
              </wp:positionV>
              <wp:extent cx="3238500" cy="532765"/>
              <wp:effectExtent l="0" t="0" r="0" b="63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532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38B9D1" w14:textId="34F81844" w:rsidR="00EE44E4" w:rsidRPr="007367CE" w:rsidRDefault="00EE44E4" w:rsidP="00EE44E4">
                          <w:pPr>
                            <w:ind w:right="-670"/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</w:pP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+34 922 568 600</w:t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ab/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 xml:space="preserve">                  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Avda. Constitución, 1</w:t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br/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+34 922 568</w:t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 xml:space="preserve"> 622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 xml:space="preserve">                                    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38003 Santa Cruz de Tenerife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br/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contratacion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@auditoridetenerife.com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ab/>
                            <w:t>www.auditoriodetenerife.com</w:t>
                          </w:r>
                        </w:p>
                        <w:p w14:paraId="5F3D3C7F" w14:textId="77777777" w:rsidR="00EE44E4" w:rsidRDefault="00EE44E4" w:rsidP="00EE44E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D9D4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28.45pt;margin-top:42.9pt;width:255pt;height:41.9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" stroked="f">
              <v:textbox>
                <w:txbxContent>
                  <w:p w14:paraId="1438B9D1" w14:textId="34F81844" w:rsidR="00EE44E4" w:rsidRPr="007367CE" w:rsidRDefault="00EE44E4" w:rsidP="00EE44E4">
                    <w:pPr>
                      <w:ind w:right="-670"/>
                      <w:rPr>
                        <w:rFonts w:ascii="Helvetica" w:hAnsi="Helvetica"/>
                        <w:sz w:val="14"/>
                        <w:szCs w:val="14"/>
                      </w:rPr>
                    </w:pP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>+34 922 568 600</w:t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ab/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 xml:space="preserve">                  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>Avda. Constitución, 1</w:t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br/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>+34 922 568</w:t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 xml:space="preserve"> 622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 xml:space="preserve">                                    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>38003 Santa Cruz de Tenerife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br/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>contratacion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>@auditoridetenerife.com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ab/>
                      <w:t>www.auditoriodetenerife.com</w:t>
                    </w:r>
                  </w:p>
                  <w:p w14:paraId="5F3D3C7F" w14:textId="77777777" w:rsidR="00EE44E4" w:rsidRDefault="00EE44E4" w:rsidP="00EE44E4"/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1AC9CB18" wp14:editId="4215AE38">
          <wp:simplePos x="0" y="0"/>
          <wp:positionH relativeFrom="margin">
            <wp:posOffset>-704850</wp:posOffset>
          </wp:positionH>
          <wp:positionV relativeFrom="paragraph">
            <wp:posOffset>-542925</wp:posOffset>
          </wp:positionV>
          <wp:extent cx="3042285" cy="637540"/>
          <wp:effectExtent l="0" t="0" r="571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CABILDO-ADT 2019 al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2285" cy="637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F65E8F"/>
    <w:multiLevelType w:val="hybridMultilevel"/>
    <w:tmpl w:val="E3B0823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EF32FA"/>
    <w:multiLevelType w:val="hybridMultilevel"/>
    <w:tmpl w:val="EB7A4FAA"/>
    <w:lvl w:ilvl="0" w:tplc="42CCF1AC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B04"/>
    <w:rsid w:val="00226D03"/>
    <w:rsid w:val="00246AAD"/>
    <w:rsid w:val="00287B45"/>
    <w:rsid w:val="003404DB"/>
    <w:rsid w:val="00362F3E"/>
    <w:rsid w:val="00480BCD"/>
    <w:rsid w:val="0058424A"/>
    <w:rsid w:val="008124F4"/>
    <w:rsid w:val="009533A9"/>
    <w:rsid w:val="009D4041"/>
    <w:rsid w:val="00B16F69"/>
    <w:rsid w:val="00C1188F"/>
    <w:rsid w:val="00CB7B04"/>
    <w:rsid w:val="00D468B5"/>
    <w:rsid w:val="00E0331D"/>
    <w:rsid w:val="00EE44E4"/>
    <w:rsid w:val="00FD2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AD39F44"/>
  <w15:chartTrackingRefBased/>
  <w15:docId w15:val="{648F4FFB-6E3F-41FC-BB37-1BB1C5F85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B16F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B7B0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B7B0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B7B0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404D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8424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424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424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424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424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42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424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EE44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44E4"/>
  </w:style>
  <w:style w:type="paragraph" w:styleId="Piedepgina">
    <w:name w:val="footer"/>
    <w:basedOn w:val="Normal"/>
    <w:link w:val="PiedepginaCar"/>
    <w:uiPriority w:val="99"/>
    <w:unhideWhenUsed/>
    <w:rsid w:val="00EE44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44E4"/>
  </w:style>
  <w:style w:type="character" w:customStyle="1" w:styleId="Ttulo3Car">
    <w:name w:val="Título 3 Car"/>
    <w:basedOn w:val="Fuentedeprrafopredeter"/>
    <w:link w:val="Ttulo3"/>
    <w:uiPriority w:val="9"/>
    <w:rsid w:val="00B16F69"/>
    <w:rPr>
      <w:rFonts w:ascii="Times New Roman" w:eastAsia="Times New Roman" w:hAnsi="Times New Roman" w:cs="Times New Roman"/>
      <w:b/>
      <w:bCs/>
      <w:sz w:val="27"/>
      <w:szCs w:val="27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2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boe.es/buscar/act.php?id=BOE-A-1996-17533" TargetMode="External"/><Relationship Id="rId18" Type="http://schemas.openxmlformats.org/officeDocument/2006/relationships/hyperlink" Target="https://www.boe.es/buscar/act.php?id=BOE-A-2015-11719" TargetMode="External"/><Relationship Id="rId26" Type="http://schemas.openxmlformats.org/officeDocument/2006/relationships/hyperlink" Target="https://www.boe.es/buscar/act.php?id=BOE-A-2018-16673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boe.es/buscar/act.php?id=BOE-A-2001-19995&amp;tn=1&amp;p=20180505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boe.es/buscar/act.php?id=BOE-A-2010-10544" TargetMode="External"/><Relationship Id="rId17" Type="http://schemas.openxmlformats.org/officeDocument/2006/relationships/hyperlink" Target="https://www.boe.es/buscar/act.php?id=BOE-A-2007-7107" TargetMode="External"/><Relationship Id="rId25" Type="http://schemas.openxmlformats.org/officeDocument/2006/relationships/hyperlink" Target="https://www.boe.es/buscar/act.php?id=BOE-A-2015-1114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boe.es/buscar/act.php?id=BOE-A-2017-5192" TargetMode="External"/><Relationship Id="rId20" Type="http://schemas.openxmlformats.org/officeDocument/2006/relationships/hyperlink" Target="https://www.boe.es/buscar/act.php?id=BOE-A-2017-12902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boe.es/buscar/act.php?id=BOE-A-2015-4621" TargetMode="External"/><Relationship Id="rId24" Type="http://schemas.openxmlformats.org/officeDocument/2006/relationships/hyperlink" Target="https://www.boe.es/buscar/act.php?id=BOE-A-2013-12887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boe.es/buscar/act.php?id=BOE-A-2004-4214" TargetMode="External"/><Relationship Id="rId23" Type="http://schemas.openxmlformats.org/officeDocument/2006/relationships/hyperlink" Target="https://www.boe.es/buscar/act.php?id=BOE-A-2015-10566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boe.es/buscar/act.php?id=BOE-A-1985-5392" TargetMode="External"/><Relationship Id="rId19" Type="http://schemas.openxmlformats.org/officeDocument/2006/relationships/hyperlink" Target="https://www.boe.es/buscar/act.php?id=BOE-A-2015-1143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boe.es/buscar/act.php?id=BOE-A-2007-19884" TargetMode="External"/><Relationship Id="rId22" Type="http://schemas.openxmlformats.org/officeDocument/2006/relationships/hyperlink" Target="https://www.boe.es/buscar/act.php?id=BOE-A-2015-10565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D471768E307194790CB7A26B50CD401" ma:contentTypeVersion="2" ma:contentTypeDescription="Crear nuevo documento." ma:contentTypeScope="" ma:versionID="e9c5f7a8b2a396d78eaab65ee96ad6be">
  <xsd:schema xmlns:xsd="http://www.w3.org/2001/XMLSchema" xmlns:xs="http://www.w3.org/2001/XMLSchema" xmlns:p="http://schemas.microsoft.com/office/2006/metadata/properties" xmlns:ns3="fb5b698a-47b9-4089-9a86-4a8da98f7385" targetNamespace="http://schemas.microsoft.com/office/2006/metadata/properties" ma:root="true" ma:fieldsID="8b6dfcb61bb37732bb7022c96b29bafe" ns3:_="">
    <xsd:import namespace="fb5b698a-47b9-4089-9a86-4a8da98f73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b698a-47b9-4089-9a86-4a8da98f73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9C9ABF-3870-4867-91C2-DC265E3C75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5b698a-47b9-4089-9a86-4a8da98f73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C457BD-E034-4574-B98C-1666C3AC94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9AB0C8-0F27-4DF7-8CD3-F0D4BC8ADAB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503</Words>
  <Characters>2768</Characters>
  <Application>Microsoft Office Word</Application>
  <DocSecurity>4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Molina de León</dc:creator>
  <cp:keywords/>
  <dc:description/>
  <cp:lastModifiedBy>Pablo Molina de León</cp:lastModifiedBy>
  <cp:revision>2</cp:revision>
  <dcterms:created xsi:type="dcterms:W3CDTF">2021-05-07T07:56:00Z</dcterms:created>
  <dcterms:modified xsi:type="dcterms:W3CDTF">2021-05-07T07:56:00Z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0x010100ED471768E307194790CB7A26B50CD401</vt:lpwstr>
  </property>
</Properties>
</file>